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280" w:firstLineChars="1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附件5：</w:t>
      </w:r>
    </w:p>
    <w:p>
      <w:pPr>
        <w:pStyle w:val="2"/>
        <w:bidi w:val="0"/>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重大案件认定标准</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重大刑事案件</w:t>
      </w:r>
    </w:p>
    <w:p>
      <w:pPr>
        <w:numPr>
          <w:ilvl w:val="0"/>
          <w:numId w:val="2"/>
        </w:numPr>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在全国</w:t>
      </w:r>
      <w:r>
        <w:rPr>
          <w:rFonts w:hint="eastAsia" w:ascii="仿宋" w:hAnsi="仿宋" w:eastAsia="仿宋" w:cs="仿宋"/>
          <w:color w:val="auto"/>
          <w:sz w:val="32"/>
          <w:szCs w:val="32"/>
          <w:lang w:val="en-US" w:eastAsia="zh-CN"/>
        </w:rPr>
        <w:t>、全省有重大影响的刑事案件，引起媒体及网络舆情高度关注的案件；</w:t>
      </w:r>
    </w:p>
    <w:p>
      <w:pPr>
        <w:numPr>
          <w:ilvl w:val="0"/>
          <w:numId w:val="2"/>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重大刑事案件、特大刑事案件，例如重大涉外案件，涉及扫黑除恶，邪教性质、重大贿赂，群体性事件、群死群伤恶性治安事件等刑事案件；</w:t>
      </w:r>
    </w:p>
    <w:p>
      <w:pPr>
        <w:numPr>
          <w:ilvl w:val="0"/>
          <w:numId w:val="2"/>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收录在最高人民法院典型案例中的代表性案件。</w:t>
      </w:r>
    </w:p>
    <w:p>
      <w:pPr>
        <w:numPr>
          <w:ilvl w:val="0"/>
          <w:numId w:val="1"/>
        </w:num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重大民商事案件</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（一）在全国、全省有重大影响的民商事案件，引起媒体及网络舆情高度关注的案件；</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（二）人数众多（20人以上）的系列案件，争议标的额巨大（标的额在1亿以上）的案件，案情复杂的重大涉外案件（</w:t>
      </w:r>
      <w:r>
        <w:rPr>
          <w:rFonts w:hint="eastAsia" w:ascii="仿宋" w:hAnsi="仿宋" w:eastAsia="仿宋" w:cs="仿宋"/>
          <w:color w:val="auto"/>
          <w:kern w:val="2"/>
          <w:sz w:val="32"/>
          <w:szCs w:val="32"/>
          <w:lang w:val="en-US" w:eastAsia="zh-CN" w:bidi="ar-SA"/>
        </w:rPr>
        <w:t>参评律师自己报说明</w:t>
      </w:r>
      <w:r>
        <w:rPr>
          <w:rFonts w:hint="eastAsia" w:ascii="仿宋" w:hAnsi="仿宋" w:eastAsia="仿宋" w:cs="仿宋"/>
          <w:color w:val="auto"/>
          <w:sz w:val="32"/>
          <w:szCs w:val="32"/>
          <w:lang w:val="en-US" w:eastAsia="zh-CN"/>
        </w:rPr>
        <w:t>）；</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（三）收录在最高人民法院典型案例中的代表性案件，影响司法裁判标准的典型民商</w:t>
      </w:r>
      <w:bookmarkStart w:id="0" w:name="_GoBack"/>
      <w:bookmarkEnd w:id="0"/>
      <w:r>
        <w:rPr>
          <w:rFonts w:hint="eastAsia" w:ascii="仿宋" w:hAnsi="仿宋" w:eastAsia="仿宋" w:cs="仿宋"/>
          <w:color w:val="auto"/>
          <w:sz w:val="32"/>
          <w:szCs w:val="32"/>
          <w:lang w:val="en-US" w:eastAsia="zh-CN"/>
        </w:rPr>
        <w:t>事案例；</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（四）新类型案件（</w:t>
      </w:r>
      <w:r>
        <w:rPr>
          <w:rFonts w:hint="eastAsia" w:ascii="仿宋" w:hAnsi="仿宋" w:eastAsia="仿宋" w:cs="仿宋"/>
          <w:color w:val="auto"/>
          <w:kern w:val="2"/>
          <w:sz w:val="32"/>
          <w:szCs w:val="32"/>
          <w:lang w:val="en-US" w:eastAsia="zh-CN" w:bidi="ar-SA"/>
        </w:rPr>
        <w:t>参评律师自己报说明</w:t>
      </w:r>
      <w:r>
        <w:rPr>
          <w:rFonts w:hint="eastAsia" w:ascii="仿宋" w:hAnsi="仿宋" w:eastAsia="仿宋" w:cs="仿宋"/>
          <w:color w:val="auto"/>
          <w:sz w:val="32"/>
          <w:szCs w:val="32"/>
          <w:lang w:val="en-US" w:eastAsia="zh-CN"/>
        </w:rPr>
        <w:t>）。</w:t>
      </w:r>
    </w:p>
    <w:p>
      <w:pPr>
        <w:numPr>
          <w:ilvl w:val="0"/>
          <w:numId w:val="1"/>
        </w:num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重大行政案件</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（一）在全国、全省有重大影响的行政案件，引起媒体及网络舆情高度关注的案件；</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（二）存在群体性、敏感性等因素对社会稳定有较大影响的案件；</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（三）涉外或涉港、澳、台的案件；</w:t>
      </w:r>
    </w:p>
    <w:p>
      <w:pPr>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（四）对涉及当地重大基础建设、投资建设及社会公共利益建设项目的行政许可或重大行政处罚提起行政诉讼的案件；（参评律师自己报说明）</w:t>
      </w:r>
    </w:p>
    <w:p>
      <w:pPr>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（五）人数众多（20人以上）的系列案件；</w:t>
      </w:r>
    </w:p>
    <w:p>
      <w:pPr>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（六）收录在最高人民法院典型案例中的代表性案件。</w:t>
      </w:r>
    </w:p>
    <w:p>
      <w:pPr>
        <w:rPr>
          <w:rFonts w:hint="eastAsia" w:ascii="仿宋" w:hAnsi="仿宋" w:eastAsia="仿宋" w:cs="仿宋"/>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CD2FC"/>
    <w:multiLevelType w:val="singleLevel"/>
    <w:tmpl w:val="D7CCD2FC"/>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198F"/>
    <w:rsid w:val="39D15F86"/>
    <w:rsid w:val="781C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2021-06-03T08:14:00Z</dcterms:created>
  <dc:creator>yang</dc:creator>
  <cp:lastModifiedBy>yang</cp:lastModifiedBy>
  <dcterms:modified xsi:type="dcterms:W3CDTF">2021-06-04T08:15:38Z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B6D40483B2C84460B6FC6150E34CF8E4</vt:lpwstr>
  </property>
</Properties>
</file>